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Эффективность образовательной деятельности</w:t>
            </w:r>
          </w:p>
          <w:p>
            <w:pPr>
              <w:jc w:val="center"/>
              <w:spacing w:after="0" w:line="240" w:lineRule="auto"/>
              <w:rPr>
                <w:sz w:val="32"/>
                <w:szCs w:val="32"/>
              </w:rPr>
            </w:pPr>
            <w:r>
              <w:rPr>
                <w:rFonts w:ascii="Times New Roman" w:hAnsi="Times New Roman" w:cs="Times New Roman"/>
                <w:color w:val="#000000"/>
                <w:sz w:val="32"/>
                <w:szCs w:val="32"/>
              </w:rPr>
              <w:t> ФТД.02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12"/>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710.63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/Лопанова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«Эффективность образовательной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38.04.04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ФТД.02 «Эффективность образовательной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«Эффективность образовательной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научно-исследовательскую, экспертно-аналитическую и педагогическую деятельность в профессиональной сфере;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способы осуществления научно-исследовательской, экспертно- аналитической и педагогической деятельности в профессиональной сфере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уметь осуществлять научно-исследовательскую, экспертно-аналитическую и педагогическую деятельность в профессиональной сфере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владеть навыками осуществления научно-исследовательской, экспертно- аналитической и педагогической деятельности в профессиональной сфере</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ФТД.02 «Эффективность образовательной деятельности»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Административные процессы и процедуры в органах государственной власти РФ</w:t>
            </w:r>
          </w:p>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государственном управлении</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стратегическое планирование и управление</w:t>
            </w:r>
          </w:p>
          <w:p>
            <w:pPr>
              <w:jc w:val="center"/>
              <w:spacing w:after="0" w:line="240" w:lineRule="auto"/>
              <w:rPr>
                <w:sz w:val="22"/>
                <w:szCs w:val="22"/>
              </w:rPr>
            </w:pPr>
            <w:r>
              <w:rPr>
                <w:rFonts w:ascii="Times New Roman" w:hAnsi="Times New Roman" w:cs="Times New Roman"/>
                <w:color w:val="#000000"/>
                <w:sz w:val="22"/>
                <w:szCs w:val="22"/>
              </w:rPr>
              <w:t> Проектный менеджмент</w:t>
            </w:r>
          </w:p>
          <w:p>
            <w:pPr>
              <w:jc w:val="center"/>
              <w:spacing w:after="0" w:line="240" w:lineRule="auto"/>
              <w:rPr>
                <w:sz w:val="22"/>
                <w:szCs w:val="22"/>
              </w:rPr>
            </w:pPr>
            <w:r>
              <w:rPr>
                <w:rFonts w:ascii="Times New Roman" w:hAnsi="Times New Roman" w:cs="Times New Roman"/>
                <w:color w:val="#000000"/>
                <w:sz w:val="22"/>
                <w:szCs w:val="22"/>
              </w:rPr>
              <w:t> Системно-аналитические технологии в государственном управлении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ОПК-7</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эффективности образовательной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составляющие оценки качества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в образовании как инструмент оценки его качества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качества обучения 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262.919"/>
        </w:trPr>
        <w:tc>
          <w:tcPr>
            <w:tcW w:w="9654" w:type="dxa"/>
            <w:gridSpan w:val="7"/>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эффективности образовательной деятельности</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образования в современном мире. Закономерные тенденции развития образования. Факторы, влияющие на устойчивое развитие муниципальных и региональных систем образования. Объекты внутренней и внешней диагностики системы управления образованием. Методы исследований проблем образования. Исследования в области государственной и муниципальной образовательной политики и стратегии развития образования. Эффективность образовательной деятельности: понятие, характеристика</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составляющие оценки качества образования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Качество проектирования  образовательной деятельности. Качество педагогических условий и ресурсного обеспечения образовательной деятельности. Качество организационной культуры в образовании. Критерии  исследовательской деятельности педагогов.  Качество результатов развития обучающихся. Стандарты оценки качества образования в России. Виды этических норм и правил при оценке качества образования</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в образовании как инструмент оценки его качества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понятия качества образования. Проблема оценки деятельности школ и вузов. Концепция проведения внешней оценки образования в РФ. Особенности управления качеством образования на различных уровнях. Управление качеством образования на основе системы мониторинга образовательных достижений. Мониторинг качества образования. Деятельность руководителя по обеспечению мониторинга эффективности образовательной деятельности. Структура мониторинга эффективности образовательной деятельности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качества обучения и воспитания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Отслеживание и анализ динамики качества обучения. Определение эффективности качества обучения.  Анализ уровня аттестации педагогов и их достижений. Отслеживание динамики обученности. Управление повышением качества обучения. Отслеживание и анализ динамики качества воспитания. Определение эффективности качества воспитания. Отслеживание динамики воспитанности. Управление повышением качества воспитания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«Эффективность образовательной деятельности» / Лопанова Е.В..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2448.8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https://urait.ru/bcode/437825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Трапицын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Агапова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Апевалова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Бавина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Жарова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Кравцов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https://urait.ru/bcode/433372</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качеством</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Опфер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Сахарчук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Улановская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Чандра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978-5-9935-0357-8.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http://www.iprbookshop.ru/58328.html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качеством</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Цибульникова,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качеством</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978-5-4263-0401-7.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http://www.iprbookshop.ru/97793.html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066.47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169.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46.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54.1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243.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2023-2024_ФГОС3++2023_Маг-ЗФО-ГМУ(ЮО)(23)_plx_Эффективность образовательной деятельности</dc:title>
  <dc:creator>FastReport.NET</dc:creator>
</cp:coreProperties>
</file>